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ascii="Times New Roman" w:hAnsi="Times New Roman" w:eastAsia="仿宋_GB2312"/>
          <w:b/>
          <w:sz w:val="32"/>
          <w:szCs w:val="32"/>
        </w:rPr>
      </w:pPr>
      <w:bookmarkStart w:id="0" w:name="_GoBack"/>
      <w:r>
        <w:rPr>
          <w:rFonts w:ascii="Times New Roman" w:hAnsi="Times New Roman" w:eastAsia="仿宋_GB2312"/>
          <w:b/>
          <w:sz w:val="32"/>
          <w:szCs w:val="32"/>
        </w:rPr>
        <w:t>南通大学</w:t>
      </w:r>
      <w:r>
        <w:rPr>
          <w:rFonts w:ascii="Times New Roman" w:hAnsi="Times New Roman" w:eastAsia="仿宋_GB2312"/>
          <w:b/>
          <w:sz w:val="32"/>
          <w:szCs w:val="32"/>
          <w:u w:val="thick"/>
        </w:rPr>
        <w:t xml:space="preserve"> </w:t>
      </w:r>
      <w:r>
        <w:rPr>
          <w:rFonts w:hint="eastAsia" w:ascii="Times New Roman" w:hAnsi="Times New Roman" w:eastAsia="仿宋_GB2312"/>
          <w:b/>
          <w:sz w:val="32"/>
          <w:szCs w:val="32"/>
          <w:u w:val="thick"/>
          <w:lang w:eastAsia="zh-CN"/>
        </w:rPr>
        <w:t>软件</w:t>
      </w:r>
      <w:r>
        <w:rPr>
          <w:rFonts w:ascii="Times New Roman" w:hAnsi="Times New Roman" w:eastAsia="仿宋_GB2312"/>
          <w:b/>
          <w:sz w:val="32"/>
          <w:szCs w:val="32"/>
          <w:u w:val="thick"/>
        </w:rPr>
        <w:t xml:space="preserve">工程 </w:t>
      </w:r>
      <w:r>
        <w:rPr>
          <w:rFonts w:ascii="Times New Roman" w:hAnsi="Times New Roman" w:eastAsia="仿宋_GB2312"/>
          <w:b/>
          <w:sz w:val="32"/>
          <w:szCs w:val="32"/>
        </w:rPr>
        <w:t>专业自评报告</w:t>
      </w:r>
    </w:p>
    <w:p>
      <w:pPr>
        <w:widowControl/>
        <w:spacing w:line="440" w:lineRule="exact"/>
        <w:jc w:val="center"/>
        <w:rPr>
          <w:rFonts w:ascii="Times New Roman" w:hAnsi="Times New Roman" w:eastAsia="仿宋_GB2312"/>
          <w:b/>
          <w:sz w:val="32"/>
          <w:szCs w:val="32"/>
        </w:rPr>
      </w:pPr>
    </w:p>
    <w:p>
      <w:pPr>
        <w:widowControl/>
        <w:spacing w:line="440" w:lineRule="exact"/>
        <w:jc w:val="left"/>
        <w:rPr>
          <w:rFonts w:ascii="Tahoma" w:hAnsi="Tahoma" w:eastAsia="宋体" w:cs="Tahoma"/>
          <w:color w:val="000000"/>
          <w:kern w:val="0"/>
          <w:sz w:val="24"/>
          <w:szCs w:val="24"/>
        </w:rPr>
      </w:pPr>
      <w:r>
        <w:rPr>
          <w:rFonts w:ascii="Tahoma" w:hAnsi="Tahoma" w:eastAsia="宋体" w:cs="Tahoma"/>
          <w:b/>
          <w:bCs/>
          <w:color w:val="000000"/>
          <w:kern w:val="0"/>
          <w:sz w:val="24"/>
          <w:szCs w:val="24"/>
        </w:rPr>
        <w:t>（一）专业基本现状</w:t>
      </w:r>
    </w:p>
    <w:p>
      <w:pPr>
        <w:widowControl/>
        <w:spacing w:line="440" w:lineRule="exact"/>
        <w:ind w:firstLine="480"/>
        <w:jc w:val="left"/>
        <w:rPr>
          <w:rFonts w:ascii="Tahoma" w:hAnsi="Tahoma" w:eastAsia="宋体" w:cs="Tahoma"/>
          <w:color w:val="000000"/>
          <w:kern w:val="0"/>
          <w:sz w:val="24"/>
          <w:szCs w:val="24"/>
        </w:rPr>
      </w:pPr>
      <w:r>
        <w:rPr>
          <w:rFonts w:ascii="Tahoma" w:hAnsi="Tahoma" w:eastAsia="宋体" w:cs="Tahoma"/>
          <w:color w:val="000000"/>
          <w:kern w:val="0"/>
          <w:sz w:val="24"/>
          <w:szCs w:val="24"/>
        </w:rPr>
        <w:t>南通大学软件工程专业始建于2005年，每年的招生规模为2-4个班，现有在校生395名，采用</w:t>
      </w:r>
      <w:r>
        <w:rPr>
          <w:rFonts w:hint="eastAsia" w:ascii="Tahoma" w:hAnsi="Tahoma" w:eastAsia="宋体" w:cs="Tahoma"/>
          <w:color w:val="000000"/>
          <w:kern w:val="0"/>
          <w:sz w:val="24"/>
          <w:szCs w:val="24"/>
        </w:rPr>
        <w:t>“</w:t>
      </w:r>
      <w:r>
        <w:rPr>
          <w:rFonts w:ascii="Tahoma" w:hAnsi="Tahoma" w:eastAsia="宋体" w:cs="Tahoma"/>
          <w:color w:val="000000"/>
          <w:kern w:val="0"/>
          <w:sz w:val="24"/>
          <w:szCs w:val="24"/>
        </w:rPr>
        <w:t>3+1</w:t>
      </w:r>
      <w:r>
        <w:rPr>
          <w:rFonts w:hint="eastAsia" w:ascii="Tahoma" w:hAnsi="Tahoma" w:eastAsia="宋体" w:cs="Tahoma"/>
          <w:color w:val="000000"/>
          <w:kern w:val="0"/>
          <w:sz w:val="24"/>
          <w:szCs w:val="24"/>
        </w:rPr>
        <w:t>”</w:t>
      </w:r>
      <w:r>
        <w:rPr>
          <w:rFonts w:ascii="Tahoma" w:hAnsi="Tahoma" w:eastAsia="宋体" w:cs="Tahoma"/>
          <w:color w:val="000000"/>
          <w:kern w:val="0"/>
          <w:sz w:val="24"/>
          <w:szCs w:val="24"/>
        </w:rPr>
        <w:t>人才培养模式，即前三年为在校培养阶段，学习软件工程专业所需的基础理论和基本技能训练；最后一年为学生实训/实习与毕设阶段。人才培养过程采用</w:t>
      </w:r>
      <w:r>
        <w:rPr>
          <w:rFonts w:hint="eastAsia" w:ascii="Tahoma" w:hAnsi="Tahoma" w:eastAsia="宋体" w:cs="Tahoma"/>
          <w:color w:val="000000"/>
          <w:kern w:val="0"/>
          <w:sz w:val="24"/>
          <w:szCs w:val="24"/>
        </w:rPr>
        <w:t>“</w:t>
      </w:r>
      <w:r>
        <w:rPr>
          <w:rFonts w:ascii="Tahoma" w:hAnsi="Tahoma" w:eastAsia="宋体" w:cs="Tahoma"/>
          <w:color w:val="000000"/>
          <w:kern w:val="0"/>
          <w:sz w:val="24"/>
          <w:szCs w:val="24"/>
        </w:rPr>
        <w:t>1234</w:t>
      </w:r>
      <w:r>
        <w:rPr>
          <w:rFonts w:hint="eastAsia" w:ascii="Tahoma" w:hAnsi="Tahoma" w:eastAsia="宋体" w:cs="Tahoma"/>
          <w:color w:val="000000"/>
          <w:kern w:val="0"/>
          <w:sz w:val="24"/>
          <w:szCs w:val="24"/>
        </w:rPr>
        <w:t>”</w:t>
      </w:r>
      <w:r>
        <w:rPr>
          <w:rFonts w:ascii="Tahoma" w:hAnsi="Tahoma" w:eastAsia="宋体" w:cs="Tahoma"/>
          <w:color w:val="000000"/>
          <w:kern w:val="0"/>
          <w:sz w:val="24"/>
          <w:szCs w:val="24"/>
        </w:rPr>
        <w:t>实施方法：1个目标、2种办法、3条主线、4个平台，详见图1。专业培养目标是培养软件工程方面的应用型高层次人才。</w:t>
      </w:r>
    </w:p>
    <w:p>
      <w:pPr>
        <w:widowControl/>
        <w:spacing w:before="75" w:after="75"/>
        <w:ind w:firstLine="480"/>
        <w:jc w:val="center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ascii="Tahoma" w:hAnsi="Tahoma" w:eastAsia="宋体" w:cs="Tahoma"/>
          <w:color w:val="000000"/>
          <w:kern w:val="0"/>
          <w:sz w:val="18"/>
          <w:szCs w:val="18"/>
        </w:rPr>
        <w:drawing>
          <wp:inline distT="0" distB="0" distL="0" distR="0">
            <wp:extent cx="3829050" cy="1600200"/>
            <wp:effectExtent l="0" t="0" r="0" b="0"/>
            <wp:docPr id="4" name="图片 4" descr="https://pbpg.njcit.cn/attached/2018/image/20181021/20181021184200_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s://pbpg.njcit.cn/attached/2018/image/20181021/20181021184200_17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75" w:after="75"/>
        <w:ind w:firstLine="480"/>
        <w:jc w:val="center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Cs w:val="21"/>
        </w:rPr>
        <w:t xml:space="preserve">图1 </w:t>
      </w:r>
      <w:r>
        <w:rPr>
          <w:rFonts w:hint="eastAsia" w:ascii="Tahoma" w:hAnsi="Tahoma" w:eastAsia="宋体" w:cs="Tahoma"/>
          <w:color w:val="000000"/>
          <w:kern w:val="0"/>
          <w:szCs w:val="21"/>
        </w:rPr>
        <w:t>“</w:t>
      </w:r>
      <w:r>
        <w:rPr>
          <w:rFonts w:ascii="Tahoma" w:hAnsi="Tahoma" w:eastAsia="宋体" w:cs="Tahoma"/>
          <w:color w:val="000000"/>
          <w:kern w:val="0"/>
          <w:szCs w:val="21"/>
        </w:rPr>
        <w:t>1234</w:t>
      </w:r>
      <w:r>
        <w:rPr>
          <w:rFonts w:hint="eastAsia" w:ascii="Tahoma" w:hAnsi="Tahoma" w:eastAsia="宋体" w:cs="Tahoma"/>
          <w:color w:val="000000"/>
          <w:kern w:val="0"/>
          <w:szCs w:val="21"/>
        </w:rPr>
        <w:t>”</w:t>
      </w:r>
      <w:r>
        <w:rPr>
          <w:rFonts w:ascii="Tahoma" w:hAnsi="Tahoma" w:eastAsia="宋体" w:cs="Tahoma"/>
          <w:color w:val="000000"/>
          <w:kern w:val="0"/>
          <w:szCs w:val="21"/>
        </w:rPr>
        <w:t>培养</w:t>
      </w:r>
      <w:r>
        <w:rPr>
          <w:rFonts w:hint="eastAsia" w:ascii="Tahoma" w:hAnsi="Tahoma" w:eastAsia="宋体" w:cs="Tahoma"/>
          <w:color w:val="000000"/>
          <w:kern w:val="0"/>
          <w:szCs w:val="21"/>
        </w:rPr>
        <w:t>实施</w:t>
      </w:r>
      <w:r>
        <w:rPr>
          <w:rFonts w:ascii="Tahoma" w:hAnsi="Tahoma" w:eastAsia="宋体" w:cs="Tahoma"/>
          <w:color w:val="000000"/>
          <w:kern w:val="0"/>
          <w:szCs w:val="21"/>
        </w:rPr>
        <w:t>方法</w:t>
      </w:r>
    </w:p>
    <w:p>
      <w:pPr>
        <w:widowControl/>
        <w:spacing w:line="440" w:lineRule="exact"/>
        <w:ind w:firstLine="480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ascii="Tahoma" w:hAnsi="Tahoma" w:eastAsia="宋体" w:cs="Tahoma"/>
          <w:color w:val="000000"/>
          <w:kern w:val="0"/>
          <w:sz w:val="24"/>
          <w:szCs w:val="24"/>
        </w:rPr>
        <w:t>本专业现有专任教师20人，兼职教师6人，专业生师比为17.8:1。专业师资队伍学历层次高、教学经验丰富、综合素质全面。专业教师100%具有与软件工程或相关专业的硕士及以上学位，博士占比45%； 副高以上职称占比90%，且100%（除外出）承担本科教学任务；5年人均教研相关项目为1.25项；42%的老师具有企业或行业实践相关经历。近五年本专业专任教师获得“省优秀毕业设计个人或团队指导”、“南通市杰出青年岗位能手”等各级各类荣誉称号30余次，获有荣誉的老师占比37.38%；参与学生项目指导、学科竞赛指导的老师占比65%；中青年教师接受各级各类培训的比例为50%。70%以上的老师，积极参与科研工作，5人年均科研经费6.40万，获有江苏省高校科技进步三等奖1项，南通市科技进步二等奖2项等奖项。</w:t>
      </w:r>
    </w:p>
    <w:p>
      <w:pPr>
        <w:widowControl/>
        <w:spacing w:line="440" w:lineRule="exact"/>
        <w:ind w:firstLine="480"/>
        <w:jc w:val="left"/>
        <w:rPr>
          <w:rFonts w:ascii="Tahoma" w:hAnsi="Tahoma" w:eastAsia="宋体" w:cs="Tahoma"/>
          <w:color w:val="000000"/>
          <w:kern w:val="0"/>
          <w:sz w:val="24"/>
          <w:szCs w:val="24"/>
        </w:rPr>
      </w:pPr>
      <w:r>
        <w:rPr>
          <w:rFonts w:ascii="Tahoma" w:hAnsi="Tahoma" w:eastAsia="宋体" w:cs="Tahoma"/>
          <w:color w:val="000000"/>
          <w:kern w:val="0"/>
          <w:sz w:val="24"/>
          <w:szCs w:val="24"/>
        </w:rPr>
        <w:t>教学投入、教学设施等教学条件能满足本科人才培养的要求。有软件实验室、软件服务外包实训基地等实践场所12个，生均实验室面积5.53平方米，生均教学仪器设备值1.98万元，生均教学行政用房面积为16.11平方米；拥有相对稳定的实习、实训基地10家；专业图书种类齐全，中外文书刊数量多，生均图书数量远超国家标准要求的80册；教学经费充足，本专业教学运行实际支出经费五年平均值约159万。未来三年，因南通大学</w:t>
      </w:r>
      <w:r>
        <w:rPr>
          <w:rFonts w:hint="eastAsia" w:ascii="Tahoma" w:hAnsi="Tahoma" w:eastAsia="宋体" w:cs="Tahoma"/>
          <w:color w:val="000000"/>
          <w:kern w:val="0"/>
          <w:sz w:val="24"/>
          <w:szCs w:val="24"/>
        </w:rPr>
        <w:t>——</w:t>
      </w:r>
      <w:r>
        <w:rPr>
          <w:rFonts w:ascii="Tahoma" w:hAnsi="Tahoma" w:eastAsia="宋体" w:cs="Tahoma"/>
          <w:color w:val="000000"/>
          <w:kern w:val="0"/>
          <w:sz w:val="24"/>
          <w:szCs w:val="24"/>
        </w:rPr>
        <w:t>阿里云大数据学院的成立，获南通市政府资助资金1400万元。</w:t>
      </w:r>
    </w:p>
    <w:p>
      <w:pPr>
        <w:widowControl/>
        <w:spacing w:line="440" w:lineRule="exact"/>
        <w:ind w:firstLine="480"/>
        <w:jc w:val="left"/>
        <w:rPr>
          <w:rFonts w:ascii="Tahoma" w:hAnsi="Tahoma" w:eastAsia="宋体" w:cs="Tahoma"/>
          <w:color w:val="000000"/>
          <w:kern w:val="0"/>
          <w:sz w:val="24"/>
          <w:szCs w:val="24"/>
        </w:rPr>
      </w:pPr>
      <w:r>
        <w:rPr>
          <w:rFonts w:ascii="Tahoma" w:hAnsi="Tahoma" w:eastAsia="宋体" w:cs="Tahoma"/>
          <w:color w:val="000000"/>
          <w:kern w:val="0"/>
          <w:sz w:val="24"/>
          <w:szCs w:val="24"/>
        </w:rPr>
        <w:t>本专业执行的人才培养方案符合教育部颁布的《普通高等学校本科专业目录和专业介绍（2012年）》、《普通高等学校专业质量标准》的要求，课程体系结构合理，各类课程在学分占比为：人文社科类（24.71%）、实践类（28.40%）、数学及自然科学类（15.29%）、学科基础与专业教育占总学分比（32.9%），各项指标满足本次专业评估要求或专业认证要求。实践教学以问题解决和实践创新能力提高为目标，验证、设计与综合多层次，设计与综合型比例为84.6%，实验开出率100%。</w:t>
      </w:r>
    </w:p>
    <w:p>
      <w:pPr>
        <w:widowControl/>
        <w:spacing w:line="440" w:lineRule="exact"/>
        <w:ind w:firstLine="480"/>
        <w:jc w:val="left"/>
        <w:rPr>
          <w:rFonts w:ascii="Tahoma" w:hAnsi="Tahoma" w:eastAsia="宋体" w:cs="Tahoma"/>
          <w:color w:val="000000"/>
          <w:kern w:val="0"/>
          <w:sz w:val="24"/>
          <w:szCs w:val="24"/>
        </w:rPr>
      </w:pPr>
      <w:r>
        <w:rPr>
          <w:rFonts w:ascii="Tahoma" w:hAnsi="Tahoma" w:eastAsia="宋体" w:cs="Tahoma"/>
          <w:color w:val="000000"/>
          <w:kern w:val="0"/>
          <w:sz w:val="24"/>
          <w:szCs w:val="24"/>
        </w:rPr>
        <w:t>近5年本专业招生一志愿录取率100%，优质生源数量稳中有升；本专业平均申请转出率为0.27%；本专业领域内的初次就业率98.38%，年终就业率为100%。</w:t>
      </w:r>
    </w:p>
    <w:p>
      <w:pPr>
        <w:widowControl/>
        <w:spacing w:line="440" w:lineRule="exact"/>
        <w:jc w:val="left"/>
        <w:rPr>
          <w:rFonts w:ascii="Tahoma" w:hAnsi="Tahoma" w:eastAsia="宋体" w:cs="Tahoma"/>
          <w:color w:val="000000"/>
          <w:kern w:val="0"/>
          <w:sz w:val="24"/>
          <w:szCs w:val="24"/>
        </w:rPr>
      </w:pPr>
      <w:r>
        <w:rPr>
          <w:rFonts w:ascii="Tahoma" w:hAnsi="Tahoma" w:eastAsia="宋体" w:cs="Tahoma"/>
          <w:b/>
          <w:bCs/>
          <w:color w:val="000000"/>
          <w:kern w:val="0"/>
          <w:sz w:val="24"/>
          <w:szCs w:val="24"/>
        </w:rPr>
        <w:t>（二）专业建设主要成效</w:t>
      </w:r>
    </w:p>
    <w:p>
      <w:pPr>
        <w:widowControl/>
        <w:spacing w:line="440" w:lineRule="exact"/>
        <w:ind w:firstLine="480"/>
        <w:jc w:val="left"/>
        <w:rPr>
          <w:rFonts w:ascii="Tahoma" w:hAnsi="Tahoma" w:eastAsia="宋体" w:cs="Tahoma"/>
          <w:color w:val="000000"/>
          <w:kern w:val="0"/>
          <w:sz w:val="24"/>
          <w:szCs w:val="24"/>
        </w:rPr>
      </w:pPr>
      <w:r>
        <w:rPr>
          <w:rFonts w:ascii="Tahoma" w:hAnsi="Tahoma" w:eastAsia="宋体" w:cs="Tahoma"/>
          <w:color w:val="000000"/>
          <w:kern w:val="0"/>
          <w:sz w:val="24"/>
          <w:szCs w:val="24"/>
        </w:rPr>
        <w:t>2012年，本专业获批江苏省</w:t>
      </w:r>
      <w:r>
        <w:rPr>
          <w:rFonts w:hint="eastAsia" w:ascii="Tahoma" w:hAnsi="Tahoma" w:eastAsia="宋体" w:cs="Tahoma"/>
          <w:color w:val="000000"/>
          <w:kern w:val="0"/>
          <w:sz w:val="24"/>
          <w:szCs w:val="24"/>
        </w:rPr>
        <w:t>“</w:t>
      </w:r>
      <w:r>
        <w:rPr>
          <w:rFonts w:ascii="Tahoma" w:hAnsi="Tahoma" w:eastAsia="宋体" w:cs="Tahoma"/>
          <w:color w:val="000000"/>
          <w:kern w:val="0"/>
          <w:sz w:val="24"/>
          <w:szCs w:val="24"/>
        </w:rPr>
        <w:t>十二五</w:t>
      </w:r>
      <w:r>
        <w:rPr>
          <w:rFonts w:hint="eastAsia" w:ascii="Tahoma" w:hAnsi="Tahoma" w:eastAsia="宋体" w:cs="Tahoma"/>
          <w:color w:val="000000"/>
          <w:kern w:val="0"/>
          <w:sz w:val="24"/>
          <w:szCs w:val="24"/>
        </w:rPr>
        <w:t>”</w:t>
      </w:r>
      <w:r>
        <w:rPr>
          <w:rFonts w:ascii="Tahoma" w:hAnsi="Tahoma" w:eastAsia="宋体" w:cs="Tahoma"/>
          <w:color w:val="000000"/>
          <w:kern w:val="0"/>
          <w:sz w:val="24"/>
          <w:szCs w:val="24"/>
        </w:rPr>
        <w:t>高等学校重点专业类建设，同年还获批江苏省卓越工程师（软件类）教育培养计划试点专业，两个项目均通过验收。本专业契合时代需求、优化办学理念、提高教学水平、提升人才培养质量。主要成效有：</w:t>
      </w:r>
    </w:p>
    <w:p>
      <w:pPr>
        <w:widowControl/>
        <w:spacing w:line="440" w:lineRule="exact"/>
        <w:ind w:firstLine="480"/>
        <w:jc w:val="left"/>
        <w:rPr>
          <w:rFonts w:ascii="Tahoma" w:hAnsi="Tahoma" w:eastAsia="宋体" w:cs="Tahoma"/>
          <w:color w:val="000000"/>
          <w:kern w:val="0"/>
          <w:sz w:val="24"/>
          <w:szCs w:val="24"/>
        </w:rPr>
      </w:pPr>
      <w:r>
        <w:rPr>
          <w:rFonts w:ascii="Tahoma" w:hAnsi="Tahoma" w:eastAsia="宋体" w:cs="Tahoma"/>
          <w:color w:val="000000"/>
          <w:kern w:val="0"/>
          <w:sz w:val="24"/>
          <w:szCs w:val="24"/>
        </w:rPr>
        <w:t>（1）多源教学取得良好效果</w:t>
      </w:r>
    </w:p>
    <w:p>
      <w:pPr>
        <w:widowControl/>
        <w:spacing w:line="440" w:lineRule="exact"/>
        <w:ind w:firstLine="480"/>
        <w:jc w:val="left"/>
        <w:rPr>
          <w:rFonts w:ascii="Tahoma" w:hAnsi="Tahoma" w:eastAsia="宋体" w:cs="Tahoma"/>
          <w:color w:val="000000"/>
          <w:kern w:val="0"/>
          <w:sz w:val="24"/>
          <w:szCs w:val="24"/>
        </w:rPr>
      </w:pPr>
      <w:r>
        <w:rPr>
          <w:rFonts w:ascii="Tahoma" w:hAnsi="Tahoma" w:eastAsia="宋体" w:cs="Tahoma"/>
          <w:color w:val="000000"/>
          <w:kern w:val="0"/>
          <w:sz w:val="24"/>
          <w:szCs w:val="24"/>
        </w:rPr>
        <w:t>采用</w:t>
      </w:r>
      <w:r>
        <w:rPr>
          <w:rFonts w:hint="eastAsia" w:ascii="Tahoma" w:hAnsi="Tahoma" w:eastAsia="宋体" w:cs="Tahoma"/>
          <w:color w:val="000000"/>
          <w:kern w:val="0"/>
          <w:sz w:val="24"/>
          <w:szCs w:val="24"/>
        </w:rPr>
        <w:t>“</w:t>
      </w:r>
      <w:r>
        <w:rPr>
          <w:rFonts w:ascii="Tahoma" w:hAnsi="Tahoma" w:eastAsia="宋体" w:cs="Tahoma"/>
          <w:color w:val="000000"/>
          <w:kern w:val="0"/>
          <w:sz w:val="24"/>
          <w:szCs w:val="24"/>
        </w:rPr>
        <w:t>互联网+</w:t>
      </w:r>
      <w:r>
        <w:rPr>
          <w:rFonts w:hint="eastAsia" w:ascii="Tahoma" w:hAnsi="Tahoma" w:eastAsia="宋体" w:cs="Tahoma"/>
          <w:color w:val="000000"/>
          <w:kern w:val="0"/>
          <w:sz w:val="24"/>
          <w:szCs w:val="24"/>
        </w:rPr>
        <w:t>”</w:t>
      </w:r>
      <w:r>
        <w:rPr>
          <w:rFonts w:ascii="Tahoma" w:hAnsi="Tahoma" w:eastAsia="宋体" w:cs="Tahoma"/>
          <w:color w:val="000000"/>
          <w:kern w:val="0"/>
          <w:sz w:val="24"/>
          <w:szCs w:val="24"/>
        </w:rPr>
        <w:t>教学的课程比例为100%，BB平台、QQ、微信、爱课程及各种公开课被作为教学手段或学习资源引入课堂，课堂不再局限于课本、教室，课堂的“开放”和师生沟通的增加，提高了学生学习的积极性，学生参与课外研究、学科竞赛和科技成果产出覆盖面增加，2015级学生，占比达96%。</w:t>
      </w:r>
    </w:p>
    <w:p>
      <w:pPr>
        <w:widowControl/>
        <w:spacing w:line="440" w:lineRule="exact"/>
        <w:ind w:firstLine="480"/>
        <w:jc w:val="left"/>
        <w:rPr>
          <w:rFonts w:ascii="Tahoma" w:hAnsi="Tahoma" w:eastAsia="宋体" w:cs="Tahoma"/>
          <w:color w:val="000000"/>
          <w:kern w:val="0"/>
          <w:sz w:val="24"/>
          <w:szCs w:val="24"/>
        </w:rPr>
      </w:pPr>
      <w:r>
        <w:rPr>
          <w:rFonts w:ascii="Tahoma" w:hAnsi="Tahoma" w:eastAsia="宋体" w:cs="Tahoma"/>
          <w:color w:val="000000"/>
          <w:kern w:val="0"/>
          <w:sz w:val="24"/>
          <w:szCs w:val="24"/>
        </w:rPr>
        <w:t>（2）校企深度合作模式初步形成，专业知名度提升</w:t>
      </w:r>
    </w:p>
    <w:p>
      <w:pPr>
        <w:widowControl/>
        <w:spacing w:line="440" w:lineRule="exact"/>
        <w:ind w:firstLine="480"/>
        <w:jc w:val="left"/>
        <w:rPr>
          <w:rFonts w:ascii="Tahoma" w:hAnsi="Tahoma" w:eastAsia="宋体" w:cs="Tahoma"/>
          <w:color w:val="000000"/>
          <w:kern w:val="0"/>
          <w:sz w:val="24"/>
          <w:szCs w:val="24"/>
        </w:rPr>
      </w:pPr>
      <w:r>
        <w:rPr>
          <w:rFonts w:ascii="Tahoma" w:hAnsi="Tahoma" w:eastAsia="宋体" w:cs="Tahoma"/>
          <w:color w:val="000000"/>
          <w:kern w:val="0"/>
          <w:sz w:val="24"/>
          <w:szCs w:val="24"/>
        </w:rPr>
        <w:t>从2009 年起，与青软国际等知名企业合作。多年来，逐步形成</w:t>
      </w:r>
      <w:r>
        <w:rPr>
          <w:rFonts w:hint="eastAsia" w:ascii="Tahoma" w:hAnsi="Tahoma" w:eastAsia="宋体" w:cs="Tahoma"/>
          <w:color w:val="000000"/>
          <w:kern w:val="0"/>
          <w:sz w:val="24"/>
          <w:szCs w:val="24"/>
        </w:rPr>
        <w:t>“</w:t>
      </w:r>
      <w:r>
        <w:rPr>
          <w:rFonts w:ascii="Tahoma" w:hAnsi="Tahoma" w:eastAsia="宋体" w:cs="Tahoma"/>
          <w:color w:val="000000"/>
          <w:kern w:val="0"/>
          <w:sz w:val="24"/>
          <w:szCs w:val="24"/>
        </w:rPr>
        <w:t>4阶段4层次</w:t>
      </w:r>
      <w:r>
        <w:rPr>
          <w:rFonts w:hint="eastAsia" w:ascii="Tahoma" w:hAnsi="Tahoma" w:eastAsia="宋体" w:cs="Tahoma"/>
          <w:color w:val="000000"/>
          <w:kern w:val="0"/>
          <w:sz w:val="24"/>
          <w:szCs w:val="24"/>
        </w:rPr>
        <w:t>”</w:t>
      </w:r>
      <w:r>
        <w:rPr>
          <w:rFonts w:ascii="Tahoma" w:hAnsi="Tahoma" w:eastAsia="宋体" w:cs="Tahoma"/>
          <w:color w:val="000000"/>
          <w:kern w:val="0"/>
          <w:sz w:val="24"/>
          <w:szCs w:val="24"/>
        </w:rPr>
        <w:t>校企联合培养模式（图2），共建层次性实践教学体系（</w:t>
      </w:r>
      <w:r>
        <w:rPr>
          <w:rFonts w:hint="eastAsia" w:ascii="Tahoma" w:hAnsi="Tahoma" w:eastAsia="宋体" w:cs="Tahoma"/>
          <w:color w:val="000000"/>
          <w:kern w:val="0"/>
          <w:sz w:val="24"/>
          <w:szCs w:val="24"/>
        </w:rPr>
        <w:t>图</w:t>
      </w:r>
      <w:r>
        <w:rPr>
          <w:rFonts w:ascii="Tahoma" w:hAnsi="Tahoma" w:eastAsia="宋体" w:cs="Tahoma"/>
          <w:color w:val="000000"/>
          <w:kern w:val="0"/>
          <w:sz w:val="24"/>
          <w:szCs w:val="24"/>
        </w:rPr>
        <w:t>3）。学校、企业双轮驱动，实施多维度培养内容，实现学生工程应用能力培养目标。每年的实习与就业招聘会，都会吸引30余家企业前来参加。</w:t>
      </w:r>
    </w:p>
    <w:p>
      <w:pPr>
        <w:widowControl/>
        <w:spacing w:before="75" w:after="75"/>
        <w:ind w:firstLine="480"/>
        <w:jc w:val="center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ascii="Tahoma" w:hAnsi="Tahoma" w:eastAsia="宋体" w:cs="Tahoma"/>
          <w:color w:val="000000"/>
          <w:kern w:val="0"/>
          <w:sz w:val="18"/>
          <w:szCs w:val="18"/>
        </w:rPr>
        <w:drawing>
          <wp:inline distT="0" distB="0" distL="0" distR="0">
            <wp:extent cx="4438650" cy="3067050"/>
            <wp:effectExtent l="0" t="0" r="0" b="0"/>
            <wp:docPr id="3" name="图片 3" descr="https://pbpg.njcit.cn/attached/2018/image/20181021/20181021184228_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s://pbpg.njcit.cn/attached/2018/image/20181021/20181021184228_2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75" w:after="75"/>
        <w:jc w:val="center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Cs w:val="21"/>
        </w:rPr>
        <w:t xml:space="preserve">图2 </w:t>
      </w:r>
      <w:r>
        <w:rPr>
          <w:rFonts w:hint="eastAsia" w:ascii="Tahoma" w:hAnsi="Tahoma" w:eastAsia="宋体" w:cs="Tahoma"/>
          <w:color w:val="000000"/>
          <w:kern w:val="0"/>
          <w:szCs w:val="21"/>
        </w:rPr>
        <w:t>“</w:t>
      </w:r>
      <w:r>
        <w:rPr>
          <w:rFonts w:ascii="Tahoma" w:hAnsi="Tahoma" w:eastAsia="宋体" w:cs="Tahoma"/>
          <w:color w:val="000000"/>
          <w:kern w:val="0"/>
          <w:szCs w:val="21"/>
        </w:rPr>
        <w:t>4阶段4层次</w:t>
      </w:r>
      <w:r>
        <w:rPr>
          <w:rFonts w:hint="eastAsia" w:ascii="Tahoma" w:hAnsi="Tahoma" w:eastAsia="宋体" w:cs="Tahoma"/>
          <w:color w:val="000000"/>
          <w:kern w:val="0"/>
          <w:szCs w:val="21"/>
        </w:rPr>
        <w:t>”</w:t>
      </w:r>
      <w:r>
        <w:rPr>
          <w:rFonts w:ascii="Tahoma" w:hAnsi="Tahoma" w:eastAsia="宋体" w:cs="Tahoma"/>
          <w:color w:val="000000"/>
          <w:kern w:val="0"/>
          <w:szCs w:val="21"/>
        </w:rPr>
        <w:t>联合培养模式</w:t>
      </w:r>
    </w:p>
    <w:p>
      <w:pPr>
        <w:widowControl/>
        <w:spacing w:before="75" w:after="75"/>
        <w:ind w:firstLine="480"/>
        <w:jc w:val="center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ascii="Tahoma" w:hAnsi="Tahoma" w:eastAsia="宋体" w:cs="Tahoma"/>
          <w:color w:val="000000"/>
          <w:kern w:val="0"/>
          <w:sz w:val="18"/>
          <w:szCs w:val="18"/>
        </w:rPr>
        <w:drawing>
          <wp:inline distT="0" distB="0" distL="0" distR="0">
            <wp:extent cx="2838450" cy="1933575"/>
            <wp:effectExtent l="0" t="0" r="0" b="9525"/>
            <wp:docPr id="2" name="图片 2" descr="https://pbpg.njcit.cn/attached/2018/image/20181021/20181021184251_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pbpg.njcit.cn/attached/2018/image/20181021/20181021184251_2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75" w:after="75"/>
        <w:jc w:val="center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Cs w:val="21"/>
        </w:rPr>
        <w:t>图3</w:t>
      </w:r>
      <w:r>
        <w:rPr>
          <w:rFonts w:hint="eastAsia" w:ascii="Tahoma" w:hAnsi="Tahoma" w:eastAsia="宋体" w:cs="Tahoma"/>
          <w:color w:val="000000"/>
          <w:kern w:val="0"/>
          <w:szCs w:val="21"/>
        </w:rPr>
        <w:t xml:space="preserve"> </w:t>
      </w:r>
      <w:r>
        <w:rPr>
          <w:rFonts w:ascii="Tahoma" w:hAnsi="Tahoma" w:eastAsia="宋体" w:cs="Tahoma"/>
          <w:color w:val="000000"/>
          <w:kern w:val="0"/>
          <w:szCs w:val="21"/>
        </w:rPr>
        <w:t>校企合作实践教学体系</w:t>
      </w:r>
    </w:p>
    <w:p>
      <w:pPr>
        <w:widowControl/>
        <w:spacing w:line="440" w:lineRule="exact"/>
        <w:ind w:firstLine="480"/>
        <w:jc w:val="left"/>
        <w:rPr>
          <w:rFonts w:ascii="Tahoma" w:hAnsi="Tahoma" w:eastAsia="宋体" w:cs="Tahoma"/>
          <w:color w:val="000000"/>
          <w:kern w:val="0"/>
          <w:sz w:val="24"/>
          <w:szCs w:val="24"/>
        </w:rPr>
      </w:pPr>
      <w:r>
        <w:rPr>
          <w:rFonts w:ascii="Tahoma" w:hAnsi="Tahoma" w:eastAsia="宋体" w:cs="Tahoma"/>
          <w:color w:val="000000"/>
          <w:kern w:val="0"/>
          <w:sz w:val="24"/>
          <w:szCs w:val="24"/>
        </w:rPr>
        <w:t>（3）多措并举，毕业生质量显著提高</w:t>
      </w:r>
    </w:p>
    <w:p>
      <w:pPr>
        <w:widowControl/>
        <w:spacing w:line="440" w:lineRule="exact"/>
        <w:ind w:firstLine="480"/>
        <w:jc w:val="left"/>
        <w:rPr>
          <w:rFonts w:ascii="Tahoma" w:hAnsi="Tahoma" w:eastAsia="宋体" w:cs="Tahoma"/>
          <w:color w:val="000000"/>
          <w:kern w:val="0"/>
          <w:sz w:val="24"/>
          <w:szCs w:val="24"/>
        </w:rPr>
      </w:pPr>
      <w:r>
        <w:rPr>
          <w:rFonts w:ascii="Tahoma" w:hAnsi="Tahoma" w:eastAsia="宋体" w:cs="Tahoma"/>
          <w:color w:val="000000"/>
          <w:kern w:val="0"/>
          <w:sz w:val="24"/>
          <w:szCs w:val="24"/>
        </w:rPr>
        <w:t>实训及在企业顶岗实习实现了学校学习与企业就业的无缝衔接，学分置换制度，促使学生们积极参与课外项目研究、学科竞赛、发表学术成果等相关活动。近五年，平均初次就业率在98%以上，年终就业率为100%。考研率和考研成绩逐年提高。2018年，录取人数与占实际参考人数52.54%，其中 13位同学被南大、中科大、同济、东大、南开等</w:t>
      </w:r>
      <w:r>
        <w:rPr>
          <w:rFonts w:hint="eastAsia" w:ascii="Tahoma" w:hAnsi="Tahoma" w:eastAsia="宋体" w:cs="Tahoma"/>
          <w:color w:val="000000"/>
          <w:kern w:val="0"/>
          <w:sz w:val="24"/>
          <w:szCs w:val="24"/>
        </w:rPr>
        <w:t>“</w:t>
      </w:r>
      <w:r>
        <w:rPr>
          <w:rFonts w:ascii="Tahoma" w:hAnsi="Tahoma" w:eastAsia="宋体" w:cs="Tahoma"/>
          <w:color w:val="000000"/>
          <w:kern w:val="0"/>
          <w:sz w:val="24"/>
          <w:szCs w:val="24"/>
        </w:rPr>
        <w:t>985</w:t>
      </w:r>
      <w:r>
        <w:rPr>
          <w:rFonts w:hint="eastAsia" w:ascii="Tahoma" w:hAnsi="Tahoma" w:eastAsia="宋体" w:cs="Tahoma"/>
          <w:color w:val="000000"/>
          <w:kern w:val="0"/>
          <w:sz w:val="24"/>
          <w:szCs w:val="24"/>
        </w:rPr>
        <w:t>”</w:t>
      </w:r>
      <w:r>
        <w:rPr>
          <w:rFonts w:ascii="Tahoma" w:hAnsi="Tahoma" w:eastAsia="宋体" w:cs="Tahoma"/>
          <w:color w:val="000000"/>
          <w:kern w:val="0"/>
          <w:sz w:val="24"/>
          <w:szCs w:val="24"/>
        </w:rPr>
        <w:t>高校录取。</w:t>
      </w:r>
      <w:r>
        <w:rPr>
          <w:rFonts w:hint="eastAsia" w:ascii="Tahoma" w:hAnsi="Tahoma" w:eastAsia="宋体" w:cs="Tahoma"/>
          <w:color w:val="000000"/>
          <w:kern w:val="0"/>
          <w:sz w:val="24"/>
          <w:szCs w:val="24"/>
        </w:rPr>
        <w:t>“</w:t>
      </w:r>
      <w:r>
        <w:rPr>
          <w:rFonts w:ascii="Tahoma" w:hAnsi="Tahoma" w:eastAsia="宋体" w:cs="Tahoma"/>
          <w:color w:val="000000"/>
          <w:kern w:val="0"/>
          <w:sz w:val="24"/>
          <w:szCs w:val="24"/>
        </w:rPr>
        <w:t>挑战杯</w:t>
      </w:r>
      <w:r>
        <w:rPr>
          <w:rFonts w:hint="eastAsia" w:ascii="Tahoma" w:hAnsi="Tahoma" w:eastAsia="宋体" w:cs="Tahoma"/>
          <w:color w:val="000000"/>
          <w:kern w:val="0"/>
          <w:sz w:val="24"/>
          <w:szCs w:val="24"/>
        </w:rPr>
        <w:t>”</w:t>
      </w:r>
      <w:r>
        <w:rPr>
          <w:rFonts w:ascii="Tahoma" w:hAnsi="Tahoma" w:eastAsia="宋体" w:cs="Tahoma"/>
          <w:color w:val="000000"/>
          <w:kern w:val="0"/>
          <w:sz w:val="24"/>
          <w:szCs w:val="24"/>
        </w:rPr>
        <w:t>、</w:t>
      </w:r>
      <w:r>
        <w:rPr>
          <w:rFonts w:hint="eastAsia" w:ascii="Tahoma" w:hAnsi="Tahoma" w:eastAsia="宋体" w:cs="Tahoma"/>
          <w:color w:val="000000"/>
          <w:kern w:val="0"/>
          <w:sz w:val="24"/>
          <w:szCs w:val="24"/>
        </w:rPr>
        <w:t>“</w:t>
      </w:r>
      <w:r>
        <w:rPr>
          <w:rFonts w:ascii="Tahoma" w:hAnsi="Tahoma" w:eastAsia="宋体" w:cs="Tahoma"/>
          <w:color w:val="000000"/>
          <w:kern w:val="0"/>
          <w:sz w:val="24"/>
          <w:szCs w:val="24"/>
        </w:rPr>
        <w:t>创青春</w:t>
      </w:r>
      <w:r>
        <w:rPr>
          <w:rFonts w:hint="eastAsia" w:ascii="Tahoma" w:hAnsi="Tahoma" w:eastAsia="宋体" w:cs="Tahoma"/>
          <w:color w:val="000000"/>
          <w:kern w:val="0"/>
          <w:sz w:val="24"/>
          <w:szCs w:val="24"/>
        </w:rPr>
        <w:t>”</w:t>
      </w:r>
      <w:r>
        <w:rPr>
          <w:rFonts w:ascii="Tahoma" w:hAnsi="Tahoma" w:eastAsia="宋体" w:cs="Tahoma"/>
          <w:color w:val="000000"/>
          <w:kern w:val="0"/>
          <w:sz w:val="24"/>
          <w:szCs w:val="24"/>
        </w:rPr>
        <w:t>等高级别的学科竞赛成绩不断提升和突破。2017年，获ACM亚州赛区3个铜奖，2018年上半年获1个银奖。</w:t>
      </w:r>
    </w:p>
    <w:p>
      <w:pPr>
        <w:widowControl/>
        <w:spacing w:line="440" w:lineRule="exact"/>
        <w:jc w:val="left"/>
        <w:rPr>
          <w:rFonts w:ascii="Tahoma" w:hAnsi="Tahoma" w:eastAsia="宋体" w:cs="Tahoma"/>
          <w:color w:val="000000"/>
          <w:kern w:val="0"/>
          <w:sz w:val="24"/>
          <w:szCs w:val="24"/>
        </w:rPr>
      </w:pPr>
      <w:r>
        <w:rPr>
          <w:rFonts w:ascii="Tahoma" w:hAnsi="Tahoma" w:eastAsia="宋体" w:cs="Tahoma"/>
          <w:b/>
          <w:bCs/>
          <w:color w:val="000000"/>
          <w:kern w:val="0"/>
          <w:sz w:val="24"/>
          <w:szCs w:val="24"/>
        </w:rPr>
        <w:t>（三）专业目前存在的问题及其成因</w:t>
      </w:r>
    </w:p>
    <w:p>
      <w:pPr>
        <w:widowControl/>
        <w:spacing w:line="440" w:lineRule="exact"/>
        <w:ind w:firstLine="480"/>
        <w:jc w:val="left"/>
        <w:rPr>
          <w:rFonts w:ascii="Tahoma" w:hAnsi="Tahoma" w:eastAsia="宋体" w:cs="Tahoma"/>
          <w:color w:val="000000"/>
          <w:kern w:val="0"/>
          <w:sz w:val="24"/>
          <w:szCs w:val="24"/>
        </w:rPr>
      </w:pPr>
      <w:r>
        <w:rPr>
          <w:rFonts w:ascii="Tahoma" w:hAnsi="Tahoma" w:eastAsia="宋体" w:cs="Tahoma"/>
          <w:color w:val="000000"/>
          <w:kern w:val="0"/>
          <w:sz w:val="24"/>
          <w:szCs w:val="24"/>
        </w:rPr>
        <w:t>对应新“工科”和“工程认证”要求，本专业目前存在的主要问题与成因有：</w:t>
      </w:r>
    </w:p>
    <w:p>
      <w:pPr>
        <w:widowControl/>
        <w:spacing w:line="440" w:lineRule="exact"/>
        <w:ind w:firstLine="480"/>
        <w:jc w:val="left"/>
        <w:rPr>
          <w:rFonts w:ascii="Tahoma" w:hAnsi="Tahoma" w:eastAsia="宋体" w:cs="Tahoma"/>
          <w:color w:val="000000"/>
          <w:kern w:val="0"/>
          <w:sz w:val="24"/>
          <w:szCs w:val="24"/>
        </w:rPr>
      </w:pPr>
      <w:r>
        <w:rPr>
          <w:rFonts w:ascii="Tahoma" w:hAnsi="Tahoma" w:eastAsia="宋体" w:cs="Tahoma"/>
          <w:color w:val="000000"/>
          <w:kern w:val="0"/>
          <w:sz w:val="24"/>
          <w:szCs w:val="24"/>
        </w:rPr>
        <w:t>（1）教师整体科研水平偏低，人均高水平论文偏少（&lt;2件/年/人）。主要原因有：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①</w:t>
      </w:r>
      <w:r>
        <w:rPr>
          <w:rFonts w:ascii="Tahoma" w:hAnsi="Tahoma" w:eastAsia="宋体" w:cs="Tahoma"/>
          <w:color w:val="000000"/>
          <w:kern w:val="0"/>
          <w:sz w:val="24"/>
          <w:szCs w:val="24"/>
        </w:rPr>
        <w:t xml:space="preserve"> 教学任务偏重；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②</w:t>
      </w:r>
      <w:r>
        <w:rPr>
          <w:rFonts w:ascii="Tahoma" w:hAnsi="Tahoma" w:eastAsia="宋体" w:cs="Tahoma"/>
          <w:color w:val="000000"/>
          <w:kern w:val="0"/>
          <w:sz w:val="24"/>
          <w:szCs w:val="24"/>
        </w:rPr>
        <w:t xml:space="preserve"> 招聘困难，IT行业高端人材就业容易。</w:t>
      </w:r>
    </w:p>
    <w:p>
      <w:pPr>
        <w:widowControl/>
        <w:spacing w:line="440" w:lineRule="exact"/>
        <w:ind w:firstLine="360"/>
        <w:jc w:val="left"/>
        <w:rPr>
          <w:rFonts w:ascii="Tahoma" w:hAnsi="Tahoma" w:eastAsia="宋体" w:cs="Tahoma"/>
          <w:color w:val="000000"/>
          <w:kern w:val="0"/>
          <w:sz w:val="24"/>
          <w:szCs w:val="24"/>
        </w:rPr>
      </w:pPr>
      <w:r>
        <w:rPr>
          <w:rFonts w:ascii="Tahoma" w:hAnsi="Tahoma" w:eastAsia="宋体" w:cs="Tahoma"/>
          <w:color w:val="000000"/>
          <w:kern w:val="0"/>
          <w:sz w:val="24"/>
          <w:szCs w:val="24"/>
        </w:rPr>
        <w:t>（2）国际化有待加强。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①</w:t>
      </w:r>
      <w:r>
        <w:rPr>
          <w:rFonts w:ascii="Tahoma" w:hAnsi="Tahoma" w:eastAsia="宋体" w:cs="Tahoma"/>
          <w:color w:val="000000"/>
          <w:kern w:val="0"/>
          <w:sz w:val="24"/>
          <w:szCs w:val="24"/>
        </w:rPr>
        <w:t>没有与国外高校的联合办学；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②</w:t>
      </w:r>
      <w:r>
        <w:rPr>
          <w:rFonts w:ascii="Tahoma" w:hAnsi="Tahoma" w:eastAsia="宋体" w:cs="Tahoma"/>
          <w:color w:val="000000"/>
          <w:kern w:val="0"/>
          <w:sz w:val="24"/>
          <w:szCs w:val="24"/>
        </w:rPr>
        <w:t>到国外进行短期交流学习的同学占比极小。</w:t>
      </w:r>
    </w:p>
    <w:p>
      <w:pPr>
        <w:widowControl/>
        <w:spacing w:line="440" w:lineRule="exact"/>
        <w:jc w:val="left"/>
        <w:rPr>
          <w:rFonts w:ascii="Tahoma" w:hAnsi="Tahoma" w:eastAsia="宋体" w:cs="Tahoma"/>
          <w:color w:val="000000"/>
          <w:kern w:val="0"/>
          <w:sz w:val="24"/>
          <w:szCs w:val="24"/>
        </w:rPr>
      </w:pPr>
      <w:r>
        <w:rPr>
          <w:rFonts w:ascii="Tahoma" w:hAnsi="Tahoma" w:eastAsia="宋体" w:cs="Tahoma"/>
          <w:b/>
          <w:bCs/>
          <w:color w:val="000000"/>
          <w:kern w:val="0"/>
          <w:sz w:val="24"/>
          <w:szCs w:val="24"/>
        </w:rPr>
        <w:t>（四）专业下一阶段目标、思路与举措</w:t>
      </w:r>
    </w:p>
    <w:p>
      <w:pPr>
        <w:widowControl/>
        <w:spacing w:line="440" w:lineRule="exact"/>
        <w:ind w:firstLine="482"/>
        <w:jc w:val="left"/>
        <w:rPr>
          <w:rFonts w:ascii="Tahoma" w:hAnsi="Tahoma" w:eastAsia="宋体" w:cs="Tahoma"/>
          <w:color w:val="000000"/>
          <w:kern w:val="0"/>
          <w:sz w:val="24"/>
          <w:szCs w:val="24"/>
        </w:rPr>
      </w:pPr>
      <w:r>
        <w:rPr>
          <w:rFonts w:ascii="Tahoma" w:hAnsi="Tahoma" w:eastAsia="宋体" w:cs="Tahoma"/>
          <w:b/>
          <w:bCs/>
          <w:color w:val="000000"/>
          <w:kern w:val="0"/>
          <w:sz w:val="24"/>
          <w:szCs w:val="24"/>
        </w:rPr>
        <w:t>目标：</w:t>
      </w:r>
      <w:r>
        <w:rPr>
          <w:rFonts w:ascii="Tahoma" w:hAnsi="Tahoma" w:eastAsia="宋体" w:cs="Tahoma"/>
          <w:color w:val="000000"/>
          <w:kern w:val="0"/>
          <w:sz w:val="24"/>
          <w:szCs w:val="24"/>
        </w:rPr>
        <w:t>进行“新工科+工程认证”背景下的软件工程专业建设，培养具有“工程实践能力、学科交叉能力、创新创业能力、自主和终身学习能力和人文素养、社会担当和责任意识”的高层次应用型软件工程人才。</w:t>
      </w:r>
    </w:p>
    <w:p>
      <w:pPr>
        <w:widowControl/>
        <w:spacing w:line="440" w:lineRule="exact"/>
        <w:ind w:firstLine="482"/>
        <w:jc w:val="left"/>
        <w:rPr>
          <w:rFonts w:ascii="Tahoma" w:hAnsi="Tahoma" w:eastAsia="宋体" w:cs="Tahoma"/>
          <w:color w:val="000000"/>
          <w:kern w:val="0"/>
          <w:sz w:val="24"/>
          <w:szCs w:val="24"/>
        </w:rPr>
      </w:pPr>
      <w:r>
        <w:rPr>
          <w:rFonts w:ascii="Tahoma" w:hAnsi="Tahoma" w:eastAsia="宋体" w:cs="Tahoma"/>
          <w:b/>
          <w:bCs/>
          <w:color w:val="000000"/>
          <w:kern w:val="0"/>
          <w:sz w:val="24"/>
          <w:szCs w:val="24"/>
        </w:rPr>
        <w:t>思路：</w:t>
      </w:r>
      <w:r>
        <w:rPr>
          <w:rFonts w:ascii="Tahoma" w:hAnsi="Tahoma" w:eastAsia="宋体" w:cs="Tahoma"/>
          <w:color w:val="000000"/>
          <w:kern w:val="0"/>
          <w:sz w:val="24"/>
          <w:szCs w:val="24"/>
        </w:rPr>
        <w:t>以新型教育理念，创新培养模式，优化课程体系，提高师资队伍水平，推进教学过程改革，推进国际化教学建设，以评促建。</w:t>
      </w:r>
    </w:p>
    <w:p>
      <w:pPr>
        <w:widowControl/>
        <w:spacing w:line="440" w:lineRule="exact"/>
        <w:ind w:firstLine="482"/>
        <w:jc w:val="left"/>
        <w:rPr>
          <w:rFonts w:ascii="Tahoma" w:hAnsi="Tahoma" w:eastAsia="宋体" w:cs="Tahoma"/>
          <w:color w:val="000000"/>
          <w:kern w:val="0"/>
          <w:sz w:val="24"/>
          <w:szCs w:val="24"/>
        </w:rPr>
      </w:pPr>
      <w:r>
        <w:rPr>
          <w:rFonts w:ascii="Tahoma" w:hAnsi="Tahoma" w:eastAsia="宋体" w:cs="Tahoma"/>
          <w:b/>
          <w:bCs/>
          <w:color w:val="000000"/>
          <w:kern w:val="0"/>
          <w:sz w:val="24"/>
          <w:szCs w:val="24"/>
        </w:rPr>
        <w:t>举措：</w:t>
      </w:r>
    </w:p>
    <w:p>
      <w:pPr>
        <w:widowControl/>
        <w:spacing w:line="440" w:lineRule="exact"/>
        <w:ind w:firstLine="480"/>
        <w:jc w:val="left"/>
        <w:rPr>
          <w:rFonts w:ascii="Tahoma" w:hAnsi="Tahoma" w:eastAsia="宋体" w:cs="Tahoma"/>
          <w:color w:val="000000"/>
          <w:kern w:val="0"/>
          <w:sz w:val="24"/>
          <w:szCs w:val="24"/>
        </w:rPr>
      </w:pPr>
      <w:r>
        <w:rPr>
          <w:rFonts w:ascii="Tahoma" w:hAnsi="Tahoma" w:eastAsia="宋体" w:cs="Tahoma"/>
          <w:color w:val="000000"/>
          <w:kern w:val="0"/>
          <w:sz w:val="24"/>
          <w:szCs w:val="24"/>
        </w:rPr>
        <w:t>（1）坚持和落实“以学生中心、以成果为导向、持续改进”的工程教育认证理念，推进教学过程改革。以“毕业要求”为目标优化课程体系。从系统工程问题出发，围绕学科基础、多学科融合思维和创新能力培养构建更系统、综合的软件工程课程体系。</w:t>
      </w:r>
    </w:p>
    <w:p>
      <w:pPr>
        <w:widowControl/>
        <w:spacing w:line="440" w:lineRule="exact"/>
        <w:ind w:left="105" w:firstLine="360"/>
        <w:jc w:val="left"/>
        <w:rPr>
          <w:rFonts w:ascii="Tahoma" w:hAnsi="Tahoma" w:eastAsia="宋体" w:cs="Tahoma"/>
          <w:color w:val="000000"/>
          <w:kern w:val="0"/>
          <w:sz w:val="24"/>
          <w:szCs w:val="24"/>
        </w:rPr>
      </w:pPr>
      <w:r>
        <w:rPr>
          <w:rFonts w:ascii="Tahoma" w:hAnsi="Tahoma" w:eastAsia="宋体" w:cs="Tahoma"/>
          <w:color w:val="000000"/>
          <w:kern w:val="0"/>
          <w:sz w:val="24"/>
          <w:szCs w:val="24"/>
        </w:rPr>
        <w:t>（2）提升师资队伍科研水平。吸收引进和内部提高相结合：争取每年引进1~2名高水平人才；通过政策支持，鼓励校内老师访学、深造，提升科研水平。</w:t>
      </w:r>
    </w:p>
    <w:p>
      <w:pPr>
        <w:widowControl/>
        <w:spacing w:line="440" w:lineRule="exact"/>
        <w:ind w:firstLine="480"/>
        <w:jc w:val="left"/>
        <w:rPr>
          <w:rFonts w:ascii="Tahoma" w:hAnsi="Tahoma" w:eastAsia="宋体" w:cs="Tahoma"/>
          <w:color w:val="000000"/>
          <w:kern w:val="0"/>
          <w:sz w:val="24"/>
          <w:szCs w:val="24"/>
        </w:rPr>
      </w:pPr>
      <w:r>
        <w:rPr>
          <w:rFonts w:ascii="Tahoma" w:hAnsi="Tahoma" w:eastAsia="宋体" w:cs="Tahoma"/>
          <w:color w:val="000000"/>
          <w:kern w:val="0"/>
          <w:sz w:val="24"/>
          <w:szCs w:val="24"/>
        </w:rPr>
        <w:t>（3）推进国际化办学。通过校企合作、校校合作、学术交流、开放课堂等引进国际教学活动，促进学生参与假期交流、交换生等走出国门的教学活动，提高学生国际交流的比例。</w:t>
      </w:r>
    </w:p>
    <w:p>
      <w:pPr>
        <w:widowControl/>
        <w:spacing w:line="440" w:lineRule="exact"/>
        <w:ind w:firstLine="480" w:firstLineChars="200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ascii="Tahoma" w:hAnsi="Tahoma" w:eastAsia="宋体" w:cs="Tahoma"/>
          <w:color w:val="000000"/>
          <w:kern w:val="0"/>
          <w:sz w:val="24"/>
          <w:szCs w:val="24"/>
        </w:rPr>
        <w:t>（4）以评促建，健全专业建设监管机制。建立专业教学管理和第三方参与的教学质量监控评价机制（图4），校内外评价相结合；通过教学管理信息系统的相关数据采集和分析，加强教学保障和质量监控。</w:t>
      </w:r>
    </w:p>
    <w:p>
      <w:pPr>
        <w:widowControl/>
        <w:spacing w:before="75" w:after="75"/>
        <w:jc w:val="center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ascii="Tahoma" w:hAnsi="Tahoma" w:eastAsia="宋体" w:cs="Tahoma"/>
          <w:color w:val="000000"/>
          <w:kern w:val="0"/>
          <w:sz w:val="18"/>
          <w:szCs w:val="18"/>
        </w:rPr>
        <w:drawing>
          <wp:inline distT="0" distB="0" distL="0" distR="0">
            <wp:extent cx="4124325" cy="2581275"/>
            <wp:effectExtent l="0" t="0" r="9525" b="9525"/>
            <wp:docPr id="1" name="图片 1" descr="https://pbpg.njcit.cn/attached/2018/image/20181021/20181021184311_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pbpg.njcit.cn/attached/2018/image/20181021/20181021184311_8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75" w:after="75"/>
        <w:jc w:val="center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Cs w:val="21"/>
        </w:rPr>
        <w:t>图4 应用型人才培养质量控制体系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34"/>
    <w:rsid w:val="000004F0"/>
    <w:rsid w:val="0000413E"/>
    <w:rsid w:val="00005982"/>
    <w:rsid w:val="00010629"/>
    <w:rsid w:val="00011B6C"/>
    <w:rsid w:val="00014BBE"/>
    <w:rsid w:val="00015327"/>
    <w:rsid w:val="00016714"/>
    <w:rsid w:val="00017DCC"/>
    <w:rsid w:val="00023BB4"/>
    <w:rsid w:val="000258E2"/>
    <w:rsid w:val="00025B5D"/>
    <w:rsid w:val="00025D51"/>
    <w:rsid w:val="000311B9"/>
    <w:rsid w:val="00031A5B"/>
    <w:rsid w:val="00034462"/>
    <w:rsid w:val="000347C7"/>
    <w:rsid w:val="00036839"/>
    <w:rsid w:val="00036CB9"/>
    <w:rsid w:val="00041CF1"/>
    <w:rsid w:val="0004356E"/>
    <w:rsid w:val="00044232"/>
    <w:rsid w:val="000459B2"/>
    <w:rsid w:val="00054535"/>
    <w:rsid w:val="0005495D"/>
    <w:rsid w:val="000549C7"/>
    <w:rsid w:val="00054B3B"/>
    <w:rsid w:val="000567EB"/>
    <w:rsid w:val="000570FD"/>
    <w:rsid w:val="00061977"/>
    <w:rsid w:val="00063FAD"/>
    <w:rsid w:val="000642D4"/>
    <w:rsid w:val="0007085B"/>
    <w:rsid w:val="00073635"/>
    <w:rsid w:val="000749B5"/>
    <w:rsid w:val="00076F77"/>
    <w:rsid w:val="00083163"/>
    <w:rsid w:val="000915FE"/>
    <w:rsid w:val="0009245B"/>
    <w:rsid w:val="000937E3"/>
    <w:rsid w:val="000A3F01"/>
    <w:rsid w:val="000A5D65"/>
    <w:rsid w:val="000B0E6E"/>
    <w:rsid w:val="000B145A"/>
    <w:rsid w:val="000B1D98"/>
    <w:rsid w:val="000C50D1"/>
    <w:rsid w:val="000C5D5A"/>
    <w:rsid w:val="000D0857"/>
    <w:rsid w:val="000D3649"/>
    <w:rsid w:val="000D6F14"/>
    <w:rsid w:val="000F0371"/>
    <w:rsid w:val="000F2114"/>
    <w:rsid w:val="00100095"/>
    <w:rsid w:val="00101DA5"/>
    <w:rsid w:val="001022BA"/>
    <w:rsid w:val="00104662"/>
    <w:rsid w:val="00114D03"/>
    <w:rsid w:val="00120DDF"/>
    <w:rsid w:val="00121707"/>
    <w:rsid w:val="00127C0F"/>
    <w:rsid w:val="00132553"/>
    <w:rsid w:val="00134094"/>
    <w:rsid w:val="0013760F"/>
    <w:rsid w:val="00140DAB"/>
    <w:rsid w:val="00141CCC"/>
    <w:rsid w:val="0014487B"/>
    <w:rsid w:val="00144F03"/>
    <w:rsid w:val="00156A30"/>
    <w:rsid w:val="00161CD0"/>
    <w:rsid w:val="001627A7"/>
    <w:rsid w:val="00162FA0"/>
    <w:rsid w:val="00167713"/>
    <w:rsid w:val="001710FC"/>
    <w:rsid w:val="001730EF"/>
    <w:rsid w:val="00173BEF"/>
    <w:rsid w:val="00174F55"/>
    <w:rsid w:val="00181B9F"/>
    <w:rsid w:val="0018223B"/>
    <w:rsid w:val="00185684"/>
    <w:rsid w:val="00187A4D"/>
    <w:rsid w:val="00193A0B"/>
    <w:rsid w:val="00195C5B"/>
    <w:rsid w:val="001A4F1E"/>
    <w:rsid w:val="001B7003"/>
    <w:rsid w:val="001C3362"/>
    <w:rsid w:val="001C3515"/>
    <w:rsid w:val="001C7CF3"/>
    <w:rsid w:val="001D19E3"/>
    <w:rsid w:val="001F0504"/>
    <w:rsid w:val="001F259D"/>
    <w:rsid w:val="001F4405"/>
    <w:rsid w:val="001F4A6E"/>
    <w:rsid w:val="00210EBB"/>
    <w:rsid w:val="00215E56"/>
    <w:rsid w:val="002174B2"/>
    <w:rsid w:val="002208A3"/>
    <w:rsid w:val="00227030"/>
    <w:rsid w:val="00236779"/>
    <w:rsid w:val="002373E0"/>
    <w:rsid w:val="00241F0F"/>
    <w:rsid w:val="0024582D"/>
    <w:rsid w:val="00250566"/>
    <w:rsid w:val="0025751A"/>
    <w:rsid w:val="00260211"/>
    <w:rsid w:val="00261F17"/>
    <w:rsid w:val="00263DF7"/>
    <w:rsid w:val="00263E9B"/>
    <w:rsid w:val="00267244"/>
    <w:rsid w:val="00272DB8"/>
    <w:rsid w:val="00272F1A"/>
    <w:rsid w:val="00274851"/>
    <w:rsid w:val="002753C6"/>
    <w:rsid w:val="00284724"/>
    <w:rsid w:val="00286510"/>
    <w:rsid w:val="002867A6"/>
    <w:rsid w:val="00293923"/>
    <w:rsid w:val="002A25F8"/>
    <w:rsid w:val="002A3E5F"/>
    <w:rsid w:val="002A4BA0"/>
    <w:rsid w:val="002A55DA"/>
    <w:rsid w:val="002A6A5C"/>
    <w:rsid w:val="002A7813"/>
    <w:rsid w:val="002B1107"/>
    <w:rsid w:val="002B721D"/>
    <w:rsid w:val="002B7E0F"/>
    <w:rsid w:val="002C14FD"/>
    <w:rsid w:val="002C248D"/>
    <w:rsid w:val="002C3FBB"/>
    <w:rsid w:val="002D15F5"/>
    <w:rsid w:val="002D219F"/>
    <w:rsid w:val="002D2339"/>
    <w:rsid w:val="002D5E7A"/>
    <w:rsid w:val="002D65FC"/>
    <w:rsid w:val="002E1E20"/>
    <w:rsid w:val="002E20A9"/>
    <w:rsid w:val="002F4D4B"/>
    <w:rsid w:val="002F7369"/>
    <w:rsid w:val="003014EC"/>
    <w:rsid w:val="003015F9"/>
    <w:rsid w:val="00301D0E"/>
    <w:rsid w:val="00304708"/>
    <w:rsid w:val="00305DA4"/>
    <w:rsid w:val="003104BF"/>
    <w:rsid w:val="003146FE"/>
    <w:rsid w:val="003226BB"/>
    <w:rsid w:val="00322E33"/>
    <w:rsid w:val="00324549"/>
    <w:rsid w:val="00327290"/>
    <w:rsid w:val="0033226F"/>
    <w:rsid w:val="003331D0"/>
    <w:rsid w:val="00333BA6"/>
    <w:rsid w:val="00335DA0"/>
    <w:rsid w:val="00336E0A"/>
    <w:rsid w:val="00337205"/>
    <w:rsid w:val="00337585"/>
    <w:rsid w:val="003379FC"/>
    <w:rsid w:val="00340B32"/>
    <w:rsid w:val="003415BB"/>
    <w:rsid w:val="00341A8B"/>
    <w:rsid w:val="00342D65"/>
    <w:rsid w:val="00343B06"/>
    <w:rsid w:val="003508CB"/>
    <w:rsid w:val="00356407"/>
    <w:rsid w:val="0035644E"/>
    <w:rsid w:val="00365AAD"/>
    <w:rsid w:val="00366FAF"/>
    <w:rsid w:val="00367BD3"/>
    <w:rsid w:val="00367C75"/>
    <w:rsid w:val="00375E8A"/>
    <w:rsid w:val="00386F03"/>
    <w:rsid w:val="0039102A"/>
    <w:rsid w:val="00396755"/>
    <w:rsid w:val="003A5ABE"/>
    <w:rsid w:val="003A633D"/>
    <w:rsid w:val="003A70AB"/>
    <w:rsid w:val="003B08FF"/>
    <w:rsid w:val="003B142D"/>
    <w:rsid w:val="003B17CF"/>
    <w:rsid w:val="003B2958"/>
    <w:rsid w:val="003B6B62"/>
    <w:rsid w:val="003B6F11"/>
    <w:rsid w:val="003C087F"/>
    <w:rsid w:val="003D4842"/>
    <w:rsid w:val="003D6370"/>
    <w:rsid w:val="003D6E08"/>
    <w:rsid w:val="003D729A"/>
    <w:rsid w:val="003E06AE"/>
    <w:rsid w:val="003E3CCB"/>
    <w:rsid w:val="003E51A1"/>
    <w:rsid w:val="003F251D"/>
    <w:rsid w:val="003F2624"/>
    <w:rsid w:val="00400C72"/>
    <w:rsid w:val="00400F38"/>
    <w:rsid w:val="00402789"/>
    <w:rsid w:val="00404467"/>
    <w:rsid w:val="0040451A"/>
    <w:rsid w:val="004106AB"/>
    <w:rsid w:val="00410B2E"/>
    <w:rsid w:val="00413F93"/>
    <w:rsid w:val="00415735"/>
    <w:rsid w:val="00416BDD"/>
    <w:rsid w:val="00422589"/>
    <w:rsid w:val="00430AD4"/>
    <w:rsid w:val="004353D6"/>
    <w:rsid w:val="004359A6"/>
    <w:rsid w:val="00440CEB"/>
    <w:rsid w:val="00441225"/>
    <w:rsid w:val="00441B55"/>
    <w:rsid w:val="0044399D"/>
    <w:rsid w:val="00444D39"/>
    <w:rsid w:val="004518ED"/>
    <w:rsid w:val="00455F6B"/>
    <w:rsid w:val="00457EC8"/>
    <w:rsid w:val="00464447"/>
    <w:rsid w:val="00465166"/>
    <w:rsid w:val="00470779"/>
    <w:rsid w:val="00470D0A"/>
    <w:rsid w:val="004735F0"/>
    <w:rsid w:val="00473900"/>
    <w:rsid w:val="004756AD"/>
    <w:rsid w:val="004834A6"/>
    <w:rsid w:val="004A0930"/>
    <w:rsid w:val="004A2694"/>
    <w:rsid w:val="004B125A"/>
    <w:rsid w:val="004B1609"/>
    <w:rsid w:val="004B5C6C"/>
    <w:rsid w:val="004C43F5"/>
    <w:rsid w:val="004C49E5"/>
    <w:rsid w:val="004D075C"/>
    <w:rsid w:val="004D37FB"/>
    <w:rsid w:val="004E074F"/>
    <w:rsid w:val="004E5106"/>
    <w:rsid w:val="004E5A62"/>
    <w:rsid w:val="004F5FBB"/>
    <w:rsid w:val="004F60C0"/>
    <w:rsid w:val="00502CCD"/>
    <w:rsid w:val="00504045"/>
    <w:rsid w:val="0050514A"/>
    <w:rsid w:val="00507769"/>
    <w:rsid w:val="00507C50"/>
    <w:rsid w:val="00511683"/>
    <w:rsid w:val="00511AD8"/>
    <w:rsid w:val="005146D3"/>
    <w:rsid w:val="00516E92"/>
    <w:rsid w:val="00524C52"/>
    <w:rsid w:val="00525912"/>
    <w:rsid w:val="00525B38"/>
    <w:rsid w:val="00527987"/>
    <w:rsid w:val="0053316C"/>
    <w:rsid w:val="00533E67"/>
    <w:rsid w:val="0053576F"/>
    <w:rsid w:val="00536C5C"/>
    <w:rsid w:val="0054542A"/>
    <w:rsid w:val="00546497"/>
    <w:rsid w:val="0055097D"/>
    <w:rsid w:val="00550CA6"/>
    <w:rsid w:val="00551C08"/>
    <w:rsid w:val="0055307F"/>
    <w:rsid w:val="00553222"/>
    <w:rsid w:val="00553579"/>
    <w:rsid w:val="005552D9"/>
    <w:rsid w:val="00561999"/>
    <w:rsid w:val="00562356"/>
    <w:rsid w:val="00563B24"/>
    <w:rsid w:val="00564505"/>
    <w:rsid w:val="00571914"/>
    <w:rsid w:val="00576C39"/>
    <w:rsid w:val="00577952"/>
    <w:rsid w:val="00581D4A"/>
    <w:rsid w:val="005820AA"/>
    <w:rsid w:val="00582D5B"/>
    <w:rsid w:val="005866E5"/>
    <w:rsid w:val="00586D46"/>
    <w:rsid w:val="0058746D"/>
    <w:rsid w:val="005910A3"/>
    <w:rsid w:val="005910CD"/>
    <w:rsid w:val="005944D4"/>
    <w:rsid w:val="00594FA7"/>
    <w:rsid w:val="00597A93"/>
    <w:rsid w:val="00597CC8"/>
    <w:rsid w:val="005A5F4E"/>
    <w:rsid w:val="005A6653"/>
    <w:rsid w:val="005A6A0C"/>
    <w:rsid w:val="005B3284"/>
    <w:rsid w:val="005B79D3"/>
    <w:rsid w:val="005C10C7"/>
    <w:rsid w:val="005C6225"/>
    <w:rsid w:val="005D2E0E"/>
    <w:rsid w:val="005D479E"/>
    <w:rsid w:val="005D798F"/>
    <w:rsid w:val="005E00E2"/>
    <w:rsid w:val="005E6FF9"/>
    <w:rsid w:val="005F0589"/>
    <w:rsid w:val="005F0682"/>
    <w:rsid w:val="005F2EE2"/>
    <w:rsid w:val="005F513C"/>
    <w:rsid w:val="005F6E9E"/>
    <w:rsid w:val="006007D4"/>
    <w:rsid w:val="0060284E"/>
    <w:rsid w:val="00605059"/>
    <w:rsid w:val="00611056"/>
    <w:rsid w:val="00612DE5"/>
    <w:rsid w:val="00612E17"/>
    <w:rsid w:val="00613434"/>
    <w:rsid w:val="0061412E"/>
    <w:rsid w:val="00634FAF"/>
    <w:rsid w:val="00634FBD"/>
    <w:rsid w:val="00637221"/>
    <w:rsid w:val="0064186B"/>
    <w:rsid w:val="00645CBC"/>
    <w:rsid w:val="00650D11"/>
    <w:rsid w:val="00651EE4"/>
    <w:rsid w:val="006543F5"/>
    <w:rsid w:val="00656306"/>
    <w:rsid w:val="00660974"/>
    <w:rsid w:val="00661383"/>
    <w:rsid w:val="00661EA9"/>
    <w:rsid w:val="00662192"/>
    <w:rsid w:val="00666B94"/>
    <w:rsid w:val="00667BA6"/>
    <w:rsid w:val="00671341"/>
    <w:rsid w:val="00676F6D"/>
    <w:rsid w:val="00687DD1"/>
    <w:rsid w:val="00696C5A"/>
    <w:rsid w:val="006A26D4"/>
    <w:rsid w:val="006A2E8B"/>
    <w:rsid w:val="006A3C6B"/>
    <w:rsid w:val="006A5ADB"/>
    <w:rsid w:val="006A5E85"/>
    <w:rsid w:val="006A6A86"/>
    <w:rsid w:val="006A7995"/>
    <w:rsid w:val="006B0A97"/>
    <w:rsid w:val="006B19F2"/>
    <w:rsid w:val="006C6C58"/>
    <w:rsid w:val="006C77DC"/>
    <w:rsid w:val="006C7F81"/>
    <w:rsid w:val="006D639C"/>
    <w:rsid w:val="006E4745"/>
    <w:rsid w:val="006F0CA6"/>
    <w:rsid w:val="006F0E1F"/>
    <w:rsid w:val="006F4BE4"/>
    <w:rsid w:val="006F659A"/>
    <w:rsid w:val="0070203C"/>
    <w:rsid w:val="00702EBE"/>
    <w:rsid w:val="00705FD9"/>
    <w:rsid w:val="0070672E"/>
    <w:rsid w:val="007135D7"/>
    <w:rsid w:val="00713AC9"/>
    <w:rsid w:val="007172BA"/>
    <w:rsid w:val="0072088B"/>
    <w:rsid w:val="007209E5"/>
    <w:rsid w:val="007215C4"/>
    <w:rsid w:val="007237FE"/>
    <w:rsid w:val="00725F50"/>
    <w:rsid w:val="00732DFE"/>
    <w:rsid w:val="007366A2"/>
    <w:rsid w:val="007377EA"/>
    <w:rsid w:val="007461B9"/>
    <w:rsid w:val="007470AD"/>
    <w:rsid w:val="0075361D"/>
    <w:rsid w:val="00762923"/>
    <w:rsid w:val="00763F7F"/>
    <w:rsid w:val="0076729F"/>
    <w:rsid w:val="00767C03"/>
    <w:rsid w:val="00773210"/>
    <w:rsid w:val="00776A20"/>
    <w:rsid w:val="00786757"/>
    <w:rsid w:val="007959CE"/>
    <w:rsid w:val="00797D57"/>
    <w:rsid w:val="00797F5F"/>
    <w:rsid w:val="007A0046"/>
    <w:rsid w:val="007A0446"/>
    <w:rsid w:val="007A3769"/>
    <w:rsid w:val="007A4CE4"/>
    <w:rsid w:val="007A7A77"/>
    <w:rsid w:val="007B1FCF"/>
    <w:rsid w:val="007B2EBD"/>
    <w:rsid w:val="007B3975"/>
    <w:rsid w:val="007B60FB"/>
    <w:rsid w:val="007C321C"/>
    <w:rsid w:val="007C6444"/>
    <w:rsid w:val="007D66BF"/>
    <w:rsid w:val="007E020F"/>
    <w:rsid w:val="007E1F4C"/>
    <w:rsid w:val="007E4441"/>
    <w:rsid w:val="007E5D42"/>
    <w:rsid w:val="007F0470"/>
    <w:rsid w:val="007F4060"/>
    <w:rsid w:val="00805A8E"/>
    <w:rsid w:val="00811331"/>
    <w:rsid w:val="00823A75"/>
    <w:rsid w:val="00824D1F"/>
    <w:rsid w:val="00825042"/>
    <w:rsid w:val="00837875"/>
    <w:rsid w:val="00842764"/>
    <w:rsid w:val="0085086B"/>
    <w:rsid w:val="00854FC9"/>
    <w:rsid w:val="00855320"/>
    <w:rsid w:val="00856427"/>
    <w:rsid w:val="00860086"/>
    <w:rsid w:val="00860A72"/>
    <w:rsid w:val="0086372F"/>
    <w:rsid w:val="00863AC6"/>
    <w:rsid w:val="00864D89"/>
    <w:rsid w:val="00866C50"/>
    <w:rsid w:val="00866FE0"/>
    <w:rsid w:val="00871B9A"/>
    <w:rsid w:val="00876D36"/>
    <w:rsid w:val="00882390"/>
    <w:rsid w:val="00884EFB"/>
    <w:rsid w:val="00886319"/>
    <w:rsid w:val="008910D5"/>
    <w:rsid w:val="00891FE2"/>
    <w:rsid w:val="00893130"/>
    <w:rsid w:val="0089469E"/>
    <w:rsid w:val="008A2C82"/>
    <w:rsid w:val="008A5572"/>
    <w:rsid w:val="008A5C1C"/>
    <w:rsid w:val="008B4079"/>
    <w:rsid w:val="008B476C"/>
    <w:rsid w:val="008B64F8"/>
    <w:rsid w:val="008B67BC"/>
    <w:rsid w:val="008B70FA"/>
    <w:rsid w:val="008C7478"/>
    <w:rsid w:val="008C75B7"/>
    <w:rsid w:val="008C794A"/>
    <w:rsid w:val="008D4612"/>
    <w:rsid w:val="008D6462"/>
    <w:rsid w:val="008E0B0F"/>
    <w:rsid w:val="008E256D"/>
    <w:rsid w:val="008E7F35"/>
    <w:rsid w:val="008F15CF"/>
    <w:rsid w:val="008F5A27"/>
    <w:rsid w:val="008F5BA3"/>
    <w:rsid w:val="009012B5"/>
    <w:rsid w:val="009071F7"/>
    <w:rsid w:val="00907E6A"/>
    <w:rsid w:val="00913156"/>
    <w:rsid w:val="0091465D"/>
    <w:rsid w:val="00915DB8"/>
    <w:rsid w:val="00916441"/>
    <w:rsid w:val="0092256C"/>
    <w:rsid w:val="009307DA"/>
    <w:rsid w:val="00944851"/>
    <w:rsid w:val="00946930"/>
    <w:rsid w:val="00950225"/>
    <w:rsid w:val="00950CA5"/>
    <w:rsid w:val="00952B72"/>
    <w:rsid w:val="009564BF"/>
    <w:rsid w:val="00962EE5"/>
    <w:rsid w:val="0096355A"/>
    <w:rsid w:val="00966BFA"/>
    <w:rsid w:val="0097118F"/>
    <w:rsid w:val="009726B0"/>
    <w:rsid w:val="00972BA9"/>
    <w:rsid w:val="009829C4"/>
    <w:rsid w:val="00986287"/>
    <w:rsid w:val="009872C9"/>
    <w:rsid w:val="00990E0F"/>
    <w:rsid w:val="00991B4A"/>
    <w:rsid w:val="009A572F"/>
    <w:rsid w:val="009A79A6"/>
    <w:rsid w:val="009A7D3D"/>
    <w:rsid w:val="009B24A6"/>
    <w:rsid w:val="009B4BD1"/>
    <w:rsid w:val="009B4D99"/>
    <w:rsid w:val="009B4F4F"/>
    <w:rsid w:val="009B57D0"/>
    <w:rsid w:val="009B5F24"/>
    <w:rsid w:val="009C150D"/>
    <w:rsid w:val="009C2714"/>
    <w:rsid w:val="009C3F0B"/>
    <w:rsid w:val="009C4333"/>
    <w:rsid w:val="009C6DB1"/>
    <w:rsid w:val="009D1F81"/>
    <w:rsid w:val="009D59CA"/>
    <w:rsid w:val="009D6A7C"/>
    <w:rsid w:val="009E0364"/>
    <w:rsid w:val="009E19FA"/>
    <w:rsid w:val="009E52F3"/>
    <w:rsid w:val="009F01F6"/>
    <w:rsid w:val="009F1869"/>
    <w:rsid w:val="009F27FB"/>
    <w:rsid w:val="009F7ACD"/>
    <w:rsid w:val="00A021EA"/>
    <w:rsid w:val="00A10FFD"/>
    <w:rsid w:val="00A24CB8"/>
    <w:rsid w:val="00A25435"/>
    <w:rsid w:val="00A27B71"/>
    <w:rsid w:val="00A31751"/>
    <w:rsid w:val="00A3258D"/>
    <w:rsid w:val="00A32B85"/>
    <w:rsid w:val="00A37FD6"/>
    <w:rsid w:val="00A4125B"/>
    <w:rsid w:val="00A45995"/>
    <w:rsid w:val="00A45BE0"/>
    <w:rsid w:val="00A47CB7"/>
    <w:rsid w:val="00A5075A"/>
    <w:rsid w:val="00A51426"/>
    <w:rsid w:val="00A56B5E"/>
    <w:rsid w:val="00A57D0C"/>
    <w:rsid w:val="00A60120"/>
    <w:rsid w:val="00A60966"/>
    <w:rsid w:val="00A624FA"/>
    <w:rsid w:val="00A63722"/>
    <w:rsid w:val="00A637A1"/>
    <w:rsid w:val="00A7093A"/>
    <w:rsid w:val="00A76968"/>
    <w:rsid w:val="00A77283"/>
    <w:rsid w:val="00A77331"/>
    <w:rsid w:val="00A77A2C"/>
    <w:rsid w:val="00A825D7"/>
    <w:rsid w:val="00A82AFB"/>
    <w:rsid w:val="00A87ECD"/>
    <w:rsid w:val="00A92D34"/>
    <w:rsid w:val="00A9702D"/>
    <w:rsid w:val="00A97472"/>
    <w:rsid w:val="00AA16D4"/>
    <w:rsid w:val="00AA1F93"/>
    <w:rsid w:val="00AA2124"/>
    <w:rsid w:val="00AA224F"/>
    <w:rsid w:val="00AA2E90"/>
    <w:rsid w:val="00AA3C91"/>
    <w:rsid w:val="00AA419E"/>
    <w:rsid w:val="00AA7431"/>
    <w:rsid w:val="00AB24F4"/>
    <w:rsid w:val="00AC46E4"/>
    <w:rsid w:val="00AC62DF"/>
    <w:rsid w:val="00AC6BEE"/>
    <w:rsid w:val="00AD3F29"/>
    <w:rsid w:val="00AD5833"/>
    <w:rsid w:val="00AE3588"/>
    <w:rsid w:val="00AE72BC"/>
    <w:rsid w:val="00AF377B"/>
    <w:rsid w:val="00AF7650"/>
    <w:rsid w:val="00B04B3E"/>
    <w:rsid w:val="00B07157"/>
    <w:rsid w:val="00B13B87"/>
    <w:rsid w:val="00B13FA2"/>
    <w:rsid w:val="00B16E96"/>
    <w:rsid w:val="00B17401"/>
    <w:rsid w:val="00B21183"/>
    <w:rsid w:val="00B31179"/>
    <w:rsid w:val="00B32277"/>
    <w:rsid w:val="00B33E52"/>
    <w:rsid w:val="00B34EE1"/>
    <w:rsid w:val="00B372FF"/>
    <w:rsid w:val="00B41D1F"/>
    <w:rsid w:val="00B436AB"/>
    <w:rsid w:val="00B43D2E"/>
    <w:rsid w:val="00B4622C"/>
    <w:rsid w:val="00B53AC9"/>
    <w:rsid w:val="00B5437D"/>
    <w:rsid w:val="00B546B0"/>
    <w:rsid w:val="00B550B1"/>
    <w:rsid w:val="00B55354"/>
    <w:rsid w:val="00B62C8C"/>
    <w:rsid w:val="00B65446"/>
    <w:rsid w:val="00B6605B"/>
    <w:rsid w:val="00B66C80"/>
    <w:rsid w:val="00B67336"/>
    <w:rsid w:val="00B72FC1"/>
    <w:rsid w:val="00B76510"/>
    <w:rsid w:val="00B77284"/>
    <w:rsid w:val="00B822EC"/>
    <w:rsid w:val="00BA4783"/>
    <w:rsid w:val="00BA4B31"/>
    <w:rsid w:val="00BA584C"/>
    <w:rsid w:val="00BA75F5"/>
    <w:rsid w:val="00BA778A"/>
    <w:rsid w:val="00BB46CA"/>
    <w:rsid w:val="00BB5161"/>
    <w:rsid w:val="00BB6D27"/>
    <w:rsid w:val="00BC0BF5"/>
    <w:rsid w:val="00BC2650"/>
    <w:rsid w:val="00BC2A70"/>
    <w:rsid w:val="00BC2EE0"/>
    <w:rsid w:val="00BC446E"/>
    <w:rsid w:val="00BC6350"/>
    <w:rsid w:val="00BC79E7"/>
    <w:rsid w:val="00BD1CE7"/>
    <w:rsid w:val="00BD2DF3"/>
    <w:rsid w:val="00BD2FAB"/>
    <w:rsid w:val="00BD3D20"/>
    <w:rsid w:val="00BD6998"/>
    <w:rsid w:val="00BD74BF"/>
    <w:rsid w:val="00BE19F5"/>
    <w:rsid w:val="00BE4B52"/>
    <w:rsid w:val="00BF028B"/>
    <w:rsid w:val="00BF0F22"/>
    <w:rsid w:val="00BF16AF"/>
    <w:rsid w:val="00BF53E9"/>
    <w:rsid w:val="00C0357B"/>
    <w:rsid w:val="00C122DC"/>
    <w:rsid w:val="00C15932"/>
    <w:rsid w:val="00C16580"/>
    <w:rsid w:val="00C20802"/>
    <w:rsid w:val="00C21394"/>
    <w:rsid w:val="00C22CBF"/>
    <w:rsid w:val="00C30411"/>
    <w:rsid w:val="00C31800"/>
    <w:rsid w:val="00C42AAF"/>
    <w:rsid w:val="00C467D1"/>
    <w:rsid w:val="00C46BBB"/>
    <w:rsid w:val="00C57723"/>
    <w:rsid w:val="00C65DEC"/>
    <w:rsid w:val="00C6777D"/>
    <w:rsid w:val="00C71D0F"/>
    <w:rsid w:val="00C739C1"/>
    <w:rsid w:val="00C76164"/>
    <w:rsid w:val="00C769C8"/>
    <w:rsid w:val="00C808A3"/>
    <w:rsid w:val="00C80EC9"/>
    <w:rsid w:val="00C83303"/>
    <w:rsid w:val="00C87EFA"/>
    <w:rsid w:val="00C92508"/>
    <w:rsid w:val="00C9449C"/>
    <w:rsid w:val="00C9569A"/>
    <w:rsid w:val="00C96214"/>
    <w:rsid w:val="00CA00A0"/>
    <w:rsid w:val="00CA5C00"/>
    <w:rsid w:val="00CB4C96"/>
    <w:rsid w:val="00CB50DA"/>
    <w:rsid w:val="00CB5BDF"/>
    <w:rsid w:val="00CB6E1D"/>
    <w:rsid w:val="00CC4749"/>
    <w:rsid w:val="00CC5E00"/>
    <w:rsid w:val="00CC7C6E"/>
    <w:rsid w:val="00CD6E49"/>
    <w:rsid w:val="00CE0624"/>
    <w:rsid w:val="00CE37BA"/>
    <w:rsid w:val="00CF05B7"/>
    <w:rsid w:val="00CF255F"/>
    <w:rsid w:val="00CF6F75"/>
    <w:rsid w:val="00CF7348"/>
    <w:rsid w:val="00D00A57"/>
    <w:rsid w:val="00D01F4A"/>
    <w:rsid w:val="00D03A2E"/>
    <w:rsid w:val="00D03C14"/>
    <w:rsid w:val="00D05264"/>
    <w:rsid w:val="00D0631D"/>
    <w:rsid w:val="00D068E4"/>
    <w:rsid w:val="00D070FE"/>
    <w:rsid w:val="00D10699"/>
    <w:rsid w:val="00D17377"/>
    <w:rsid w:val="00D2034A"/>
    <w:rsid w:val="00D20976"/>
    <w:rsid w:val="00D21417"/>
    <w:rsid w:val="00D2172A"/>
    <w:rsid w:val="00D25760"/>
    <w:rsid w:val="00D42518"/>
    <w:rsid w:val="00D4318E"/>
    <w:rsid w:val="00D43C54"/>
    <w:rsid w:val="00D450B6"/>
    <w:rsid w:val="00D45DE7"/>
    <w:rsid w:val="00D470AC"/>
    <w:rsid w:val="00D5153C"/>
    <w:rsid w:val="00D62786"/>
    <w:rsid w:val="00D636E9"/>
    <w:rsid w:val="00D638E9"/>
    <w:rsid w:val="00D64379"/>
    <w:rsid w:val="00D71AD8"/>
    <w:rsid w:val="00D749AD"/>
    <w:rsid w:val="00D778DE"/>
    <w:rsid w:val="00D77E2E"/>
    <w:rsid w:val="00D80970"/>
    <w:rsid w:val="00D81A2E"/>
    <w:rsid w:val="00D858E7"/>
    <w:rsid w:val="00D86447"/>
    <w:rsid w:val="00D92D90"/>
    <w:rsid w:val="00D95CD1"/>
    <w:rsid w:val="00D96010"/>
    <w:rsid w:val="00D9667A"/>
    <w:rsid w:val="00DA0F7D"/>
    <w:rsid w:val="00DA284E"/>
    <w:rsid w:val="00DA3341"/>
    <w:rsid w:val="00DA443F"/>
    <w:rsid w:val="00DA7286"/>
    <w:rsid w:val="00DB36A9"/>
    <w:rsid w:val="00DB55CB"/>
    <w:rsid w:val="00DB591A"/>
    <w:rsid w:val="00DB7EC0"/>
    <w:rsid w:val="00DC1EA8"/>
    <w:rsid w:val="00DD4490"/>
    <w:rsid w:val="00DD47FA"/>
    <w:rsid w:val="00DD50BF"/>
    <w:rsid w:val="00DE6285"/>
    <w:rsid w:val="00DE7B4D"/>
    <w:rsid w:val="00E12DF5"/>
    <w:rsid w:val="00E133D5"/>
    <w:rsid w:val="00E13A9B"/>
    <w:rsid w:val="00E1480F"/>
    <w:rsid w:val="00E14A8D"/>
    <w:rsid w:val="00E14ED6"/>
    <w:rsid w:val="00E226D2"/>
    <w:rsid w:val="00E26213"/>
    <w:rsid w:val="00E27573"/>
    <w:rsid w:val="00E31E4A"/>
    <w:rsid w:val="00E355EC"/>
    <w:rsid w:val="00E379CE"/>
    <w:rsid w:val="00E414B3"/>
    <w:rsid w:val="00E54954"/>
    <w:rsid w:val="00E556FE"/>
    <w:rsid w:val="00E55BBF"/>
    <w:rsid w:val="00E603D8"/>
    <w:rsid w:val="00E62099"/>
    <w:rsid w:val="00E63307"/>
    <w:rsid w:val="00E6408D"/>
    <w:rsid w:val="00E6642C"/>
    <w:rsid w:val="00E67BE6"/>
    <w:rsid w:val="00E73E60"/>
    <w:rsid w:val="00E75A0F"/>
    <w:rsid w:val="00E8063E"/>
    <w:rsid w:val="00E85038"/>
    <w:rsid w:val="00E92740"/>
    <w:rsid w:val="00E9497D"/>
    <w:rsid w:val="00E95AF6"/>
    <w:rsid w:val="00E962DF"/>
    <w:rsid w:val="00EA1C5C"/>
    <w:rsid w:val="00EA4A10"/>
    <w:rsid w:val="00EA5558"/>
    <w:rsid w:val="00EA7823"/>
    <w:rsid w:val="00EA7F2D"/>
    <w:rsid w:val="00EB0D6A"/>
    <w:rsid w:val="00EB264E"/>
    <w:rsid w:val="00EB4758"/>
    <w:rsid w:val="00EB5A52"/>
    <w:rsid w:val="00EC0054"/>
    <w:rsid w:val="00EC131B"/>
    <w:rsid w:val="00EC335C"/>
    <w:rsid w:val="00ED1537"/>
    <w:rsid w:val="00EE22B2"/>
    <w:rsid w:val="00EE4E0F"/>
    <w:rsid w:val="00EE53E0"/>
    <w:rsid w:val="00EF0F88"/>
    <w:rsid w:val="00EF3F72"/>
    <w:rsid w:val="00EF5249"/>
    <w:rsid w:val="00EF7B98"/>
    <w:rsid w:val="00F01080"/>
    <w:rsid w:val="00F03176"/>
    <w:rsid w:val="00F03B11"/>
    <w:rsid w:val="00F0489A"/>
    <w:rsid w:val="00F05FC8"/>
    <w:rsid w:val="00F11AF7"/>
    <w:rsid w:val="00F11C91"/>
    <w:rsid w:val="00F123E4"/>
    <w:rsid w:val="00F1383F"/>
    <w:rsid w:val="00F17737"/>
    <w:rsid w:val="00F2176A"/>
    <w:rsid w:val="00F219BF"/>
    <w:rsid w:val="00F21C29"/>
    <w:rsid w:val="00F2399A"/>
    <w:rsid w:val="00F25BFF"/>
    <w:rsid w:val="00F30139"/>
    <w:rsid w:val="00F31C40"/>
    <w:rsid w:val="00F33B2B"/>
    <w:rsid w:val="00F40D24"/>
    <w:rsid w:val="00F4270B"/>
    <w:rsid w:val="00F47D2F"/>
    <w:rsid w:val="00F54457"/>
    <w:rsid w:val="00F5526A"/>
    <w:rsid w:val="00F559E1"/>
    <w:rsid w:val="00F5614A"/>
    <w:rsid w:val="00F645A0"/>
    <w:rsid w:val="00F66647"/>
    <w:rsid w:val="00F676F5"/>
    <w:rsid w:val="00F7006E"/>
    <w:rsid w:val="00F72B8B"/>
    <w:rsid w:val="00F74C83"/>
    <w:rsid w:val="00F81B49"/>
    <w:rsid w:val="00F86DAD"/>
    <w:rsid w:val="00F8738C"/>
    <w:rsid w:val="00F9236B"/>
    <w:rsid w:val="00F93F40"/>
    <w:rsid w:val="00F94968"/>
    <w:rsid w:val="00F96740"/>
    <w:rsid w:val="00F97B79"/>
    <w:rsid w:val="00FA1805"/>
    <w:rsid w:val="00FA2706"/>
    <w:rsid w:val="00FB0D08"/>
    <w:rsid w:val="00FB12EC"/>
    <w:rsid w:val="00FB381E"/>
    <w:rsid w:val="00FB571C"/>
    <w:rsid w:val="00FB5AAC"/>
    <w:rsid w:val="00FB627C"/>
    <w:rsid w:val="00FB7FB4"/>
    <w:rsid w:val="00FC360C"/>
    <w:rsid w:val="00FC7B1A"/>
    <w:rsid w:val="00FD01FC"/>
    <w:rsid w:val="00FD2D64"/>
    <w:rsid w:val="00FD4B43"/>
    <w:rsid w:val="00FD619B"/>
    <w:rsid w:val="00FE0BF9"/>
    <w:rsid w:val="00FE2861"/>
    <w:rsid w:val="00FE4C4F"/>
    <w:rsid w:val="00FE7B66"/>
    <w:rsid w:val="00FF23A4"/>
    <w:rsid w:val="00FF7EFA"/>
    <w:rsid w:val="7FF3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apple-converted-space"/>
    <w:basedOn w:val="5"/>
    <w:qFormat/>
    <w:uiPriority w:val="0"/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1EAAF2-43D3-4F5B-9BF6-AB4F493701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378</Words>
  <Characters>2156</Characters>
  <Lines>17</Lines>
  <Paragraphs>5</Paragraphs>
  <TotalTime>0</TotalTime>
  <ScaleCrop>false</ScaleCrop>
  <LinksUpToDate>false</LinksUpToDate>
  <CharactersWithSpaces>2529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2018-10-22T04:24:00Z</dcterms:created>
  <dc:creator>系统管理员</dc:creator>
  <cp:lastModifiedBy>吉晓东@南通大学</cp:lastModifiedBy>
  <dcterms:modified xsi:type="dcterms:W3CDTF">2019-03-14T06:56:10Z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